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750" w:rsidRDefault="00FD2750" w:rsidP="00FD2750">
      <w:pPr>
        <w:spacing w:line="560" w:lineRule="exact"/>
        <w:rPr>
          <w:sz w:val="28"/>
          <w:szCs w:val="28"/>
        </w:rPr>
      </w:pPr>
      <w:bookmarkStart w:id="0" w:name="_GoBack"/>
      <w:r>
        <w:rPr>
          <w:rFonts w:hint="eastAsia"/>
          <w:sz w:val="28"/>
          <w:szCs w:val="28"/>
        </w:rPr>
        <w:t>法〔</w:t>
      </w:r>
      <w:r>
        <w:rPr>
          <w:rFonts w:hint="eastAsia"/>
          <w:sz w:val="28"/>
          <w:szCs w:val="28"/>
        </w:rPr>
        <w:t>2020</w:t>
      </w:r>
      <w:r>
        <w:rPr>
          <w:rFonts w:hint="eastAsia"/>
          <w:sz w:val="28"/>
          <w:szCs w:val="28"/>
        </w:rPr>
        <w:t>〕</w:t>
      </w:r>
      <w:r>
        <w:rPr>
          <w:rFonts w:hint="eastAsia"/>
          <w:sz w:val="28"/>
          <w:szCs w:val="28"/>
        </w:rPr>
        <w:t>10</w:t>
      </w:r>
      <w:r>
        <w:rPr>
          <w:rFonts w:hint="eastAsia"/>
          <w:sz w:val="28"/>
          <w:szCs w:val="28"/>
        </w:rPr>
        <w:t>号</w:t>
      </w:r>
    </w:p>
    <w:p w:rsidR="007B18E9" w:rsidRPr="00FD2750" w:rsidRDefault="00FD2750" w:rsidP="00FD2750">
      <w:pPr>
        <w:spacing w:line="560" w:lineRule="exact"/>
        <w:rPr>
          <w:b/>
          <w:sz w:val="32"/>
          <w:szCs w:val="32"/>
        </w:rPr>
      </w:pPr>
      <w:r w:rsidRPr="00FD2750">
        <w:rPr>
          <w:rFonts w:hint="eastAsia"/>
          <w:b/>
          <w:sz w:val="32"/>
          <w:szCs w:val="32"/>
        </w:rPr>
        <w:t>最高人民法院关于印发《民事诉讼程序繁简分流改革试点方案》的通知</w:t>
      </w:r>
    </w:p>
    <w:bookmarkEnd w:id="0"/>
    <w:p w:rsidR="007B18E9" w:rsidRPr="00FD2750" w:rsidRDefault="00FD2750">
      <w:pPr>
        <w:spacing w:line="560" w:lineRule="exact"/>
        <w:rPr>
          <w:sz w:val="24"/>
        </w:rPr>
      </w:pPr>
      <w:r w:rsidRPr="00FD2750">
        <w:rPr>
          <w:rFonts w:hint="eastAsia"/>
          <w:sz w:val="24"/>
        </w:rPr>
        <w:t>北京、上海、江苏、浙江、安徽、福建、山东、河南、湖北、广东、四川、贵州、云南、宁夏、陕西省（区、市）高级人民法院：</w:t>
      </w:r>
    </w:p>
    <w:p w:rsidR="007B18E9" w:rsidRPr="00FD2750" w:rsidRDefault="00FD2750">
      <w:pPr>
        <w:spacing w:line="560" w:lineRule="exact"/>
        <w:rPr>
          <w:sz w:val="24"/>
        </w:rPr>
      </w:pPr>
      <w:r w:rsidRPr="00FD2750">
        <w:rPr>
          <w:rFonts w:hint="eastAsia"/>
          <w:sz w:val="24"/>
        </w:rPr>
        <w:t xml:space="preserve">　　</w:t>
      </w:r>
      <w:r w:rsidRPr="00FD2750">
        <w:rPr>
          <w:rFonts w:hint="eastAsia"/>
          <w:sz w:val="24"/>
        </w:rPr>
        <w:t>为</w:t>
      </w:r>
      <w:r w:rsidRPr="00FD2750">
        <w:rPr>
          <w:rFonts w:hint="eastAsia"/>
          <w:sz w:val="24"/>
        </w:rPr>
        <w:t>深入贯彻党的十九大和十九届二中、三中、四中全会及中央政法工作会议精神，深化民事诉讼制度改革，推进案件繁简分流、轻重分离、快慢分道，充分保障人民群众合法诉讼权益，有效降低当事人诉讼成本，满足人民群众多元、高效、便捷的纠纷解决需求，进一步优化司法资源配置，全面促进司法公正、提升程序效能，最高人民法院制定了《民事诉讼程序繁简分流改革试点方案》，已经中央司法体制改革领导小组专题会议审议通过。第十三届全国人大常委会第十五次会议</w:t>
      </w:r>
      <w:proofErr w:type="gramStart"/>
      <w:r w:rsidRPr="00FD2750">
        <w:rPr>
          <w:rFonts w:hint="eastAsia"/>
          <w:sz w:val="24"/>
        </w:rPr>
        <w:t>作出</w:t>
      </w:r>
      <w:proofErr w:type="gramEnd"/>
      <w:r w:rsidRPr="00FD2750">
        <w:rPr>
          <w:rFonts w:hint="eastAsia"/>
          <w:sz w:val="24"/>
        </w:rPr>
        <w:t>《全国人民代表大会常务委员会关于授权最高人民法院在部分地区开展民事诉讼程序繁简分流</w:t>
      </w:r>
      <w:r w:rsidRPr="00FD2750">
        <w:rPr>
          <w:rFonts w:hint="eastAsia"/>
          <w:sz w:val="24"/>
        </w:rPr>
        <w:t>改革试点工作的决定》（人大常委会字〔</w:t>
      </w:r>
      <w:r w:rsidRPr="00FD2750">
        <w:rPr>
          <w:rFonts w:hint="eastAsia"/>
          <w:sz w:val="24"/>
        </w:rPr>
        <w:t>2019</w:t>
      </w:r>
      <w:r w:rsidRPr="00FD2750">
        <w:rPr>
          <w:rFonts w:hint="eastAsia"/>
          <w:sz w:val="24"/>
        </w:rPr>
        <w:t>〕</w:t>
      </w:r>
      <w:r w:rsidRPr="00FD2750">
        <w:rPr>
          <w:rFonts w:hint="eastAsia"/>
          <w:sz w:val="24"/>
        </w:rPr>
        <w:t>42</w:t>
      </w:r>
      <w:r w:rsidRPr="00FD2750">
        <w:rPr>
          <w:rFonts w:hint="eastAsia"/>
          <w:sz w:val="24"/>
        </w:rPr>
        <w:t>号），确保重大改革措施于法有据。现将《民事诉讼程序繁简分流改革试点方案》印发给你们，请认真组织实施。实施过程中遇有问题，请及时层报最高人民法院。</w:t>
      </w:r>
    </w:p>
    <w:p w:rsidR="007B18E9" w:rsidRPr="00FD2750" w:rsidRDefault="00FD2750">
      <w:pPr>
        <w:spacing w:line="560" w:lineRule="exact"/>
        <w:rPr>
          <w:sz w:val="24"/>
        </w:rPr>
      </w:pPr>
      <w:r w:rsidRPr="00FD2750">
        <w:rPr>
          <w:rFonts w:hint="eastAsia"/>
          <w:sz w:val="24"/>
        </w:rPr>
        <w:t xml:space="preserve">　　</w:t>
      </w:r>
    </w:p>
    <w:p w:rsidR="007B18E9" w:rsidRPr="00FD2750" w:rsidRDefault="00FD2750" w:rsidP="00FD2750">
      <w:pPr>
        <w:spacing w:line="560" w:lineRule="exact"/>
        <w:jc w:val="right"/>
        <w:rPr>
          <w:sz w:val="24"/>
        </w:rPr>
      </w:pPr>
      <w:r w:rsidRPr="00FD2750">
        <w:rPr>
          <w:rFonts w:hint="eastAsia"/>
          <w:sz w:val="24"/>
        </w:rPr>
        <w:t>最高人民法院</w:t>
      </w:r>
    </w:p>
    <w:p w:rsidR="007B18E9" w:rsidRPr="00FD2750" w:rsidRDefault="00FD2750" w:rsidP="00FD2750">
      <w:pPr>
        <w:spacing w:line="560" w:lineRule="exact"/>
        <w:jc w:val="right"/>
        <w:rPr>
          <w:sz w:val="24"/>
        </w:rPr>
      </w:pPr>
      <w:r w:rsidRPr="00FD2750">
        <w:rPr>
          <w:rFonts w:hint="eastAsia"/>
          <w:sz w:val="24"/>
        </w:rPr>
        <w:t>2020</w:t>
      </w:r>
      <w:r w:rsidRPr="00FD2750">
        <w:rPr>
          <w:rFonts w:hint="eastAsia"/>
          <w:sz w:val="24"/>
        </w:rPr>
        <w:t>年</w:t>
      </w:r>
      <w:r w:rsidRPr="00FD2750">
        <w:rPr>
          <w:rFonts w:hint="eastAsia"/>
          <w:sz w:val="24"/>
        </w:rPr>
        <w:t>1</w:t>
      </w:r>
      <w:r w:rsidRPr="00FD2750">
        <w:rPr>
          <w:rFonts w:hint="eastAsia"/>
          <w:sz w:val="24"/>
        </w:rPr>
        <w:t>月</w:t>
      </w:r>
      <w:r w:rsidRPr="00FD2750">
        <w:rPr>
          <w:rFonts w:hint="eastAsia"/>
          <w:sz w:val="24"/>
        </w:rPr>
        <w:t>15</w:t>
      </w:r>
      <w:r w:rsidRPr="00FD2750">
        <w:rPr>
          <w:rFonts w:hint="eastAsia"/>
          <w:sz w:val="24"/>
        </w:rPr>
        <w:t>日</w:t>
      </w:r>
    </w:p>
    <w:p w:rsidR="007B18E9" w:rsidRDefault="007B18E9">
      <w:pPr>
        <w:spacing w:line="560" w:lineRule="exact"/>
        <w:rPr>
          <w:rFonts w:hint="eastAsia"/>
          <w:sz w:val="28"/>
          <w:szCs w:val="28"/>
        </w:rPr>
      </w:pPr>
    </w:p>
    <w:p w:rsidR="00FD2750" w:rsidRDefault="00FD2750">
      <w:pPr>
        <w:spacing w:line="560" w:lineRule="exact"/>
        <w:rPr>
          <w:rFonts w:hint="eastAsia"/>
          <w:sz w:val="28"/>
          <w:szCs w:val="28"/>
        </w:rPr>
      </w:pPr>
    </w:p>
    <w:p w:rsidR="00FD2750" w:rsidRDefault="00FD2750">
      <w:pPr>
        <w:spacing w:line="560" w:lineRule="exact"/>
        <w:rPr>
          <w:rFonts w:hint="eastAsia"/>
          <w:sz w:val="28"/>
          <w:szCs w:val="28"/>
        </w:rPr>
      </w:pPr>
    </w:p>
    <w:p w:rsidR="00FD2750" w:rsidRDefault="00FD2750">
      <w:pPr>
        <w:spacing w:line="560" w:lineRule="exact"/>
        <w:rPr>
          <w:rFonts w:hint="eastAsia"/>
          <w:sz w:val="28"/>
          <w:szCs w:val="28"/>
        </w:rPr>
      </w:pPr>
    </w:p>
    <w:p w:rsidR="00FD2750" w:rsidRDefault="00FD2750">
      <w:pPr>
        <w:spacing w:line="560" w:lineRule="exact"/>
        <w:rPr>
          <w:rFonts w:hint="eastAsia"/>
          <w:sz w:val="28"/>
          <w:szCs w:val="28"/>
        </w:rPr>
      </w:pPr>
    </w:p>
    <w:p w:rsidR="00FD2750" w:rsidRDefault="00FD2750">
      <w:pPr>
        <w:spacing w:line="560" w:lineRule="exact"/>
        <w:rPr>
          <w:sz w:val="28"/>
          <w:szCs w:val="28"/>
        </w:rPr>
      </w:pPr>
    </w:p>
    <w:p w:rsidR="00FD2750" w:rsidRDefault="00FD2750" w:rsidP="00FD2750">
      <w:pPr>
        <w:spacing w:line="560" w:lineRule="exact"/>
        <w:jc w:val="center"/>
        <w:rPr>
          <w:rFonts w:ascii="方正小标宋简体" w:eastAsia="方正小标宋简体" w:hint="eastAsia"/>
          <w:sz w:val="28"/>
          <w:szCs w:val="28"/>
        </w:rPr>
      </w:pPr>
    </w:p>
    <w:p w:rsidR="007B18E9" w:rsidRPr="00FD2750" w:rsidRDefault="00FD2750" w:rsidP="00FD2750">
      <w:pPr>
        <w:spacing w:line="560" w:lineRule="exact"/>
        <w:jc w:val="center"/>
        <w:rPr>
          <w:rFonts w:ascii="方正小标宋简体" w:eastAsia="方正小标宋简体"/>
          <w:sz w:val="28"/>
          <w:szCs w:val="28"/>
        </w:rPr>
      </w:pPr>
      <w:r w:rsidRPr="00FD2750">
        <w:rPr>
          <w:rFonts w:ascii="方正小标宋简体" w:eastAsia="方正小标宋简体" w:hint="eastAsia"/>
          <w:sz w:val="28"/>
          <w:szCs w:val="28"/>
        </w:rPr>
        <w:t>民事诉讼程序繁简分流改革试点方案</w:t>
      </w:r>
    </w:p>
    <w:p w:rsidR="007B18E9" w:rsidRDefault="00FD2750">
      <w:pPr>
        <w:spacing w:line="560" w:lineRule="exact"/>
        <w:rPr>
          <w:sz w:val="28"/>
          <w:szCs w:val="28"/>
        </w:rPr>
      </w:pPr>
      <w:r>
        <w:rPr>
          <w:rFonts w:hint="eastAsia"/>
          <w:sz w:val="28"/>
          <w:szCs w:val="28"/>
        </w:rPr>
        <w:t xml:space="preserve">　　为深入贯彻党的十九大和十九届二中、三中、四中全会及中央政</w:t>
      </w:r>
      <w:r>
        <w:rPr>
          <w:rFonts w:hint="eastAsia"/>
          <w:sz w:val="28"/>
          <w:szCs w:val="28"/>
        </w:rPr>
        <w:lastRenderedPageBreak/>
        <w:t>法工作会议精神，现就推进民事诉讼程序繁简分流改革试点工作提出方案如下：</w:t>
      </w:r>
    </w:p>
    <w:p w:rsidR="007B18E9" w:rsidRDefault="00FD2750">
      <w:pPr>
        <w:spacing w:line="560" w:lineRule="exact"/>
        <w:rPr>
          <w:sz w:val="28"/>
          <w:szCs w:val="28"/>
        </w:rPr>
      </w:pPr>
      <w:r>
        <w:rPr>
          <w:rFonts w:hint="eastAsia"/>
          <w:sz w:val="28"/>
          <w:szCs w:val="28"/>
        </w:rPr>
        <w:t xml:space="preserve">　　</w:t>
      </w:r>
      <w:r>
        <w:rPr>
          <w:rFonts w:hint="eastAsia"/>
          <w:sz w:val="28"/>
          <w:szCs w:val="28"/>
        </w:rPr>
        <w:t>一、改革目标和基本原则</w:t>
      </w:r>
    </w:p>
    <w:p w:rsidR="007B18E9" w:rsidRDefault="00FD2750">
      <w:pPr>
        <w:spacing w:line="560" w:lineRule="exact"/>
        <w:rPr>
          <w:sz w:val="28"/>
          <w:szCs w:val="28"/>
        </w:rPr>
      </w:pPr>
      <w:r>
        <w:rPr>
          <w:rFonts w:hint="eastAsia"/>
          <w:sz w:val="28"/>
          <w:szCs w:val="28"/>
        </w:rPr>
        <w:t xml:space="preserve">　　以全面提升司法质量、效率和公信力，努力让人民群众在每一个</w:t>
      </w:r>
      <w:r>
        <w:rPr>
          <w:rFonts w:hint="eastAsia"/>
          <w:sz w:val="28"/>
          <w:szCs w:val="28"/>
        </w:rPr>
        <w:t>司法案件中感受到公平正义为根本目标，推动完善民事诉讼程序规则，优化司法资源配置模式，不断激发制度活力，全面提升司法效能，推动优化法治化营商环境，促进审判体系和审判能力现代化，服务国家治理体系和治理能力现代化。</w:t>
      </w:r>
    </w:p>
    <w:p w:rsidR="007B18E9" w:rsidRDefault="00FD2750">
      <w:pPr>
        <w:spacing w:line="560" w:lineRule="exact"/>
        <w:rPr>
          <w:sz w:val="28"/>
          <w:szCs w:val="28"/>
        </w:rPr>
      </w:pPr>
      <w:r>
        <w:rPr>
          <w:rFonts w:hint="eastAsia"/>
          <w:sz w:val="28"/>
          <w:szCs w:val="28"/>
        </w:rPr>
        <w:t xml:space="preserve">　　（一）坚持正确政治方向。以习近平新时代中国特色社会主义思想为指导，始终坚持党对政法工作的绝对领导，坚定不移走中国特色社会主义法治道路，切实提升人民法院化解矛盾纠纷的能力水平，为国家长治久安、社会安定有序、人民安居乐业提供坚强有力的司法服务和保障。</w:t>
      </w:r>
    </w:p>
    <w:p w:rsidR="007B18E9" w:rsidRDefault="00FD2750">
      <w:pPr>
        <w:spacing w:line="560" w:lineRule="exact"/>
        <w:rPr>
          <w:sz w:val="28"/>
          <w:szCs w:val="28"/>
        </w:rPr>
      </w:pPr>
      <w:r>
        <w:rPr>
          <w:rFonts w:hint="eastAsia"/>
          <w:sz w:val="28"/>
          <w:szCs w:val="28"/>
        </w:rPr>
        <w:t xml:space="preserve">　　（二）坚持以人民为中心。始终将不断</w:t>
      </w:r>
      <w:r>
        <w:rPr>
          <w:rFonts w:hint="eastAsia"/>
          <w:sz w:val="28"/>
          <w:szCs w:val="28"/>
        </w:rPr>
        <w:t>满足人民群众司法需求作为出发点，积极拓宽纠纷解决渠道，完善纠纷解决方式，以为民谋利、为民尽责的实际成效，取信于民。充分尊重当事人程序选择权，根据案件类型和复杂程度，适用不同的审理程序，配置相应的司法资源，优质、高效、低成本地解决矛盾纠纷，努力让司法更加亲民、诉讼更加便民、改革更加惠民，全面提升人民群众的获得感。</w:t>
      </w:r>
    </w:p>
    <w:p w:rsidR="007B18E9" w:rsidRDefault="00FD2750">
      <w:pPr>
        <w:spacing w:line="560" w:lineRule="exact"/>
        <w:rPr>
          <w:sz w:val="28"/>
          <w:szCs w:val="28"/>
        </w:rPr>
      </w:pPr>
      <w:r>
        <w:rPr>
          <w:rFonts w:hint="eastAsia"/>
          <w:sz w:val="28"/>
          <w:szCs w:val="28"/>
        </w:rPr>
        <w:t xml:space="preserve">　　（三）坚持依法有序推进。严格按照法律要求和法定程序推进试点工作。涉及调整适用现行法律规定的，由立法机关</w:t>
      </w:r>
      <w:proofErr w:type="gramStart"/>
      <w:r>
        <w:rPr>
          <w:rFonts w:hint="eastAsia"/>
          <w:sz w:val="28"/>
          <w:szCs w:val="28"/>
        </w:rPr>
        <w:t>作出</w:t>
      </w:r>
      <w:proofErr w:type="gramEnd"/>
      <w:r>
        <w:rPr>
          <w:rFonts w:hint="eastAsia"/>
          <w:sz w:val="28"/>
          <w:szCs w:val="28"/>
        </w:rPr>
        <w:t>授权决定后组织实施。对于实践证明可行的经验做法，及时总结提炼并推动上升为普遍适用的</w:t>
      </w:r>
      <w:r>
        <w:rPr>
          <w:rFonts w:hint="eastAsia"/>
          <w:sz w:val="28"/>
          <w:szCs w:val="28"/>
        </w:rPr>
        <w:t>法律制度。推动顶层设计和基层探索良性互动、有机结合，实现改革系统集成、协同高效。</w:t>
      </w:r>
    </w:p>
    <w:p w:rsidR="007B18E9" w:rsidRDefault="00FD2750">
      <w:pPr>
        <w:spacing w:line="560" w:lineRule="exact"/>
        <w:rPr>
          <w:sz w:val="28"/>
          <w:szCs w:val="28"/>
        </w:rPr>
      </w:pPr>
      <w:r>
        <w:rPr>
          <w:rFonts w:hint="eastAsia"/>
          <w:sz w:val="28"/>
          <w:szCs w:val="28"/>
        </w:rPr>
        <w:t xml:space="preserve">　　（四）坚持强化科技驱动。充分运用大数据、云计算、人工智能等现代科技手段破解改革难题、提升司法能力，促进语音识别、远程视频、智能辅助、电子卷宗等科技手段的深度应用，适度扩大在线诉讼的覆盖范围，推动实现审判方式、诉讼制度与互联网技术深度融合。</w:t>
      </w:r>
    </w:p>
    <w:p w:rsidR="007B18E9" w:rsidRDefault="00FD2750">
      <w:pPr>
        <w:spacing w:line="560" w:lineRule="exact"/>
        <w:rPr>
          <w:sz w:val="28"/>
          <w:szCs w:val="28"/>
        </w:rPr>
      </w:pPr>
      <w:r>
        <w:rPr>
          <w:rFonts w:hint="eastAsia"/>
          <w:sz w:val="28"/>
          <w:szCs w:val="28"/>
        </w:rPr>
        <w:t xml:space="preserve">　　二、主要内容</w:t>
      </w:r>
    </w:p>
    <w:p w:rsidR="007B18E9" w:rsidRDefault="00FD2750">
      <w:pPr>
        <w:spacing w:line="560" w:lineRule="exact"/>
        <w:rPr>
          <w:sz w:val="28"/>
          <w:szCs w:val="28"/>
        </w:rPr>
      </w:pPr>
      <w:r>
        <w:rPr>
          <w:rFonts w:hint="eastAsia"/>
          <w:sz w:val="28"/>
          <w:szCs w:val="28"/>
        </w:rPr>
        <w:t xml:space="preserve">　　（一）优化司法确认程序。健全特邀调解制度，加强特邀调解名册管理，完善诉前委派调解与司法确认程序的衔接机制。合理拓宽司法确认程序适用范围，经律师调解</w:t>
      </w:r>
      <w:r>
        <w:rPr>
          <w:rFonts w:hint="eastAsia"/>
          <w:sz w:val="28"/>
          <w:szCs w:val="28"/>
        </w:rPr>
        <w:t>工作室（中心）等特邀调解组织、特邀调解员，或者人民调解委员会依法调解达成民事调解协议的，当事人可以按照程序要求，向人民法院申请司法确认。完善司法确认案件管辖规则，符合级别管辖和专门管辖标准的，由对应的中级人民法院和专门人民法院受理。</w:t>
      </w:r>
    </w:p>
    <w:p w:rsidR="007B18E9" w:rsidRDefault="00FD2750">
      <w:pPr>
        <w:spacing w:line="560" w:lineRule="exact"/>
        <w:rPr>
          <w:sz w:val="28"/>
          <w:szCs w:val="28"/>
        </w:rPr>
      </w:pPr>
      <w:r>
        <w:rPr>
          <w:rFonts w:hint="eastAsia"/>
          <w:sz w:val="28"/>
          <w:szCs w:val="28"/>
        </w:rPr>
        <w:t xml:space="preserve">　　（二）完善小额诉讼程序。加强小额诉讼程序适用，适当提高小额诉讼案件标的额基准，明确适用小额诉讼程序的案件范围。进一步简化小额诉讼案件的审理方式和裁判文书，合理确定小额诉讼案件审理期限。完善小额诉讼程序与简易程序、普通程序的转换适用机制。</w:t>
      </w:r>
    </w:p>
    <w:p w:rsidR="007B18E9" w:rsidRDefault="00FD2750">
      <w:pPr>
        <w:spacing w:line="560" w:lineRule="exact"/>
        <w:rPr>
          <w:sz w:val="28"/>
          <w:szCs w:val="28"/>
        </w:rPr>
      </w:pPr>
      <w:r>
        <w:rPr>
          <w:rFonts w:hint="eastAsia"/>
          <w:sz w:val="28"/>
          <w:szCs w:val="28"/>
        </w:rPr>
        <w:t xml:space="preserve">　　（三）完善简易程序规则。对需要进行公告送达的简单民事案件，可以适用简易程序审理。明确简易程序案件庭审和裁判文书的简化规则，完善简易程序审限规定。</w:t>
      </w:r>
    </w:p>
    <w:p w:rsidR="007B18E9" w:rsidRDefault="00FD2750">
      <w:pPr>
        <w:spacing w:line="560" w:lineRule="exact"/>
        <w:rPr>
          <w:sz w:val="28"/>
          <w:szCs w:val="28"/>
        </w:rPr>
      </w:pPr>
      <w:r>
        <w:rPr>
          <w:rFonts w:hint="eastAsia"/>
          <w:sz w:val="28"/>
          <w:szCs w:val="28"/>
        </w:rPr>
        <w:t xml:space="preserve">　　（四）扩大独任制适用范围。探索基层人民法院可以由法官一人适用普通程序独任审理部分民事案件，明确适用独任制审理第一审普通程序案件的具体情形。探索中级人民法院和专门人民法院可以由法官一人独任审理部分简单民事上诉案件，明确适用独任制审理第二审民事案件的具体情形和审理方式。建立独任制与合议制的转换适用机制。</w:t>
      </w:r>
    </w:p>
    <w:p w:rsidR="007B18E9" w:rsidRDefault="00FD2750">
      <w:pPr>
        <w:spacing w:line="560" w:lineRule="exact"/>
        <w:rPr>
          <w:sz w:val="28"/>
          <w:szCs w:val="28"/>
        </w:rPr>
      </w:pPr>
      <w:r>
        <w:rPr>
          <w:rFonts w:hint="eastAsia"/>
          <w:sz w:val="28"/>
          <w:szCs w:val="28"/>
        </w:rPr>
        <w:t xml:space="preserve">　　（五）健全电子诉讼规则。明确诉讼参与人通</w:t>
      </w:r>
      <w:r>
        <w:rPr>
          <w:rFonts w:hint="eastAsia"/>
          <w:sz w:val="28"/>
          <w:szCs w:val="28"/>
        </w:rPr>
        <w:t>过人民法院信息化平台在线完成诉讼行为的法律效力。当事人选择以在线方式诉讼的，可以以电子化方式提交诉讼材料和证据材料，经人民法院审核通过后，可以不再提交纸质原件。经当事人同意，适用简易程序或者普通程序审理的案件，均可以采取在线视频方式开庭。明确电子送达的适用条件、适用范围和生效标准，经受送达人同意，可以采用电子方式送达判决书、裁定书、调解书。</w:t>
      </w:r>
    </w:p>
    <w:p w:rsidR="007B18E9" w:rsidRDefault="00FD2750">
      <w:pPr>
        <w:spacing w:line="560" w:lineRule="exact"/>
        <w:rPr>
          <w:sz w:val="28"/>
          <w:szCs w:val="28"/>
        </w:rPr>
      </w:pPr>
      <w:r>
        <w:rPr>
          <w:rFonts w:hint="eastAsia"/>
          <w:sz w:val="28"/>
          <w:szCs w:val="28"/>
        </w:rPr>
        <w:t xml:space="preserve">　　三、试点范围和期限</w:t>
      </w:r>
    </w:p>
    <w:p w:rsidR="007B18E9" w:rsidRDefault="00FD2750">
      <w:pPr>
        <w:spacing w:line="560" w:lineRule="exact"/>
        <w:rPr>
          <w:sz w:val="28"/>
          <w:szCs w:val="28"/>
        </w:rPr>
      </w:pPr>
      <w:r>
        <w:rPr>
          <w:rFonts w:hint="eastAsia"/>
          <w:sz w:val="28"/>
          <w:szCs w:val="28"/>
        </w:rPr>
        <w:t xml:space="preserve">　　（一）试点范围：北京、上海市辖区内中级人民法院、基层人民法院，南京、苏州、杭州、宁波、合肥、福州、厦门、济南、郑州、洛阳、武汉、</w:t>
      </w:r>
      <w:r>
        <w:rPr>
          <w:rFonts w:hint="eastAsia"/>
          <w:sz w:val="28"/>
          <w:szCs w:val="28"/>
        </w:rPr>
        <w:t>广州、深圳、成都、贵阳、昆明、西安、银川市中级人民法院及其辖区</w:t>
      </w:r>
      <w:proofErr w:type="gramStart"/>
      <w:r>
        <w:rPr>
          <w:rFonts w:hint="eastAsia"/>
          <w:sz w:val="28"/>
          <w:szCs w:val="28"/>
        </w:rPr>
        <w:t>内基层</w:t>
      </w:r>
      <w:proofErr w:type="gramEnd"/>
      <w:r>
        <w:rPr>
          <w:rFonts w:hint="eastAsia"/>
          <w:sz w:val="28"/>
          <w:szCs w:val="28"/>
        </w:rPr>
        <w:t>人民法院，北京、上海、广州知识产权法院，上海金融法院，北京、杭州、广州互联网法院。</w:t>
      </w:r>
    </w:p>
    <w:p w:rsidR="007B18E9" w:rsidRDefault="00FD2750">
      <w:pPr>
        <w:spacing w:line="560" w:lineRule="exact"/>
        <w:rPr>
          <w:sz w:val="28"/>
          <w:szCs w:val="28"/>
        </w:rPr>
      </w:pPr>
      <w:r>
        <w:rPr>
          <w:rFonts w:hint="eastAsia"/>
          <w:sz w:val="28"/>
          <w:szCs w:val="28"/>
        </w:rPr>
        <w:t xml:space="preserve">　　（二）试点期限：试点期限为二年，</w:t>
      </w:r>
      <w:proofErr w:type="gramStart"/>
      <w:r>
        <w:rPr>
          <w:rFonts w:hint="eastAsia"/>
          <w:sz w:val="28"/>
          <w:szCs w:val="28"/>
        </w:rPr>
        <w:t>自试点</w:t>
      </w:r>
      <w:proofErr w:type="gramEnd"/>
      <w:r>
        <w:rPr>
          <w:rFonts w:hint="eastAsia"/>
          <w:sz w:val="28"/>
          <w:szCs w:val="28"/>
        </w:rPr>
        <w:t>实施办法印发之日起算。</w:t>
      </w:r>
    </w:p>
    <w:p w:rsidR="007B18E9" w:rsidRDefault="00FD2750">
      <w:pPr>
        <w:spacing w:line="560" w:lineRule="exact"/>
        <w:rPr>
          <w:sz w:val="28"/>
          <w:szCs w:val="28"/>
        </w:rPr>
      </w:pPr>
      <w:r>
        <w:rPr>
          <w:rFonts w:hint="eastAsia"/>
          <w:sz w:val="28"/>
          <w:szCs w:val="28"/>
        </w:rPr>
        <w:t xml:space="preserve">　　四、方案实施</w:t>
      </w:r>
    </w:p>
    <w:p w:rsidR="007B18E9" w:rsidRDefault="00FD2750">
      <w:pPr>
        <w:spacing w:line="560" w:lineRule="exact"/>
        <w:rPr>
          <w:sz w:val="28"/>
          <w:szCs w:val="28"/>
        </w:rPr>
      </w:pPr>
      <w:r>
        <w:rPr>
          <w:rFonts w:hint="eastAsia"/>
          <w:sz w:val="28"/>
          <w:szCs w:val="28"/>
        </w:rPr>
        <w:t xml:space="preserve">　　（一）制定印发试点办法。最高人民法院制定印发民事诉讼程序繁简分流改革试点实施办法，并报全国人大常委会备案，作为推进试点工作的具体依据。</w:t>
      </w:r>
    </w:p>
    <w:p w:rsidR="007B18E9" w:rsidRDefault="00FD2750">
      <w:pPr>
        <w:spacing w:line="560" w:lineRule="exact"/>
        <w:rPr>
          <w:sz w:val="28"/>
          <w:szCs w:val="28"/>
        </w:rPr>
      </w:pPr>
      <w:r>
        <w:rPr>
          <w:rFonts w:hint="eastAsia"/>
          <w:sz w:val="28"/>
          <w:szCs w:val="28"/>
        </w:rPr>
        <w:t xml:space="preserve">　　</w:t>
      </w:r>
    </w:p>
    <w:p w:rsidR="007B18E9" w:rsidRDefault="00FD2750">
      <w:pPr>
        <w:spacing w:line="560" w:lineRule="exact"/>
        <w:rPr>
          <w:sz w:val="28"/>
          <w:szCs w:val="28"/>
        </w:rPr>
      </w:pPr>
      <w:r>
        <w:rPr>
          <w:rFonts w:hint="eastAsia"/>
          <w:sz w:val="28"/>
          <w:szCs w:val="28"/>
        </w:rPr>
        <w:t xml:space="preserve">　　（二）积极开展试点工作。各试点法院根据全国人大常委会授权决定、试点方案和试点实施办法开展试点工作。各试点地区高级人民法院结合工作实际，制定具体实施方案和相关制度规定。最高人民法院做好试点指导工作，并适时向党中央和全国人大常委会作专题报告。</w:t>
      </w:r>
    </w:p>
    <w:p w:rsidR="007B18E9" w:rsidRDefault="00FD2750">
      <w:pPr>
        <w:spacing w:line="560" w:lineRule="exact"/>
        <w:rPr>
          <w:sz w:val="28"/>
          <w:szCs w:val="28"/>
        </w:rPr>
      </w:pPr>
      <w:r>
        <w:rPr>
          <w:rFonts w:hint="eastAsia"/>
          <w:sz w:val="28"/>
          <w:szCs w:val="28"/>
        </w:rPr>
        <w:t xml:space="preserve">　　（三）推动法律修改完善。最高人民法院在全面总结试点经验和实效评估的基础上，配合全国人大常委会推动修改民事诉讼法等相关条文，配套完善相关司法解释。</w:t>
      </w:r>
    </w:p>
    <w:p w:rsidR="007B18E9" w:rsidRDefault="00FD2750">
      <w:pPr>
        <w:spacing w:line="560" w:lineRule="exact"/>
        <w:rPr>
          <w:sz w:val="28"/>
          <w:szCs w:val="28"/>
        </w:rPr>
      </w:pPr>
      <w:r>
        <w:rPr>
          <w:rFonts w:hint="eastAsia"/>
          <w:sz w:val="28"/>
          <w:szCs w:val="28"/>
        </w:rPr>
        <w:t xml:space="preserve">　　五、组织保障</w:t>
      </w:r>
    </w:p>
    <w:p w:rsidR="007B18E9" w:rsidRDefault="00FD2750">
      <w:pPr>
        <w:spacing w:line="560" w:lineRule="exact"/>
        <w:rPr>
          <w:sz w:val="28"/>
          <w:szCs w:val="28"/>
        </w:rPr>
      </w:pPr>
      <w:r>
        <w:rPr>
          <w:rFonts w:hint="eastAsia"/>
          <w:sz w:val="28"/>
          <w:szCs w:val="28"/>
        </w:rPr>
        <w:t xml:space="preserve">　　根据中共中央办公厅印发的《关于政法领域全面深化改革的实施意见》及其分工方案，试</w:t>
      </w:r>
      <w:r>
        <w:rPr>
          <w:rFonts w:hint="eastAsia"/>
          <w:sz w:val="28"/>
          <w:szCs w:val="28"/>
        </w:rPr>
        <w:t>点工作由最高人民法院牵头推进，中央政法委、全国人大监察和司法委员会、全国人大常委会法制工作委员会、司法部等作为参加单位。最高人民法院加强对试点工作的跟踪指导、实效评估和总结验收，定期与各成员单位沟通协商，确保试点工作稳妥有序推进。</w:t>
      </w:r>
    </w:p>
    <w:sectPr w:rsidR="007B18E9" w:rsidSect="007B18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750" w:rsidRDefault="00FD2750" w:rsidP="00FD2750">
      <w:r>
        <w:separator/>
      </w:r>
    </w:p>
  </w:endnote>
  <w:endnote w:type="continuationSeparator" w:id="1">
    <w:p w:rsidR="00FD2750" w:rsidRDefault="00FD2750" w:rsidP="00FD27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750" w:rsidRDefault="00FD2750" w:rsidP="00FD2750">
      <w:r>
        <w:separator/>
      </w:r>
    </w:p>
  </w:footnote>
  <w:footnote w:type="continuationSeparator" w:id="1">
    <w:p w:rsidR="00FD2750" w:rsidRDefault="00FD2750" w:rsidP="00FD27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FF33257"/>
    <w:rsid w:val="007B18E9"/>
    <w:rsid w:val="00FD2750"/>
    <w:rsid w:val="1FF332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8E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B18E9"/>
    <w:pPr>
      <w:spacing w:beforeAutospacing="1" w:afterAutospacing="1"/>
      <w:jc w:val="left"/>
    </w:pPr>
    <w:rPr>
      <w:rFonts w:cs="Times New Roman"/>
      <w:kern w:val="0"/>
      <w:sz w:val="24"/>
    </w:rPr>
  </w:style>
  <w:style w:type="character" w:styleId="a4">
    <w:name w:val="Strong"/>
    <w:basedOn w:val="a0"/>
    <w:qFormat/>
    <w:rsid w:val="007B18E9"/>
    <w:rPr>
      <w:b/>
    </w:rPr>
  </w:style>
  <w:style w:type="paragraph" w:styleId="a5">
    <w:name w:val="header"/>
    <w:basedOn w:val="a"/>
    <w:link w:val="Char"/>
    <w:rsid w:val="00FD27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D2750"/>
    <w:rPr>
      <w:rFonts w:asciiTheme="minorHAnsi" w:eastAsiaTheme="minorEastAsia" w:hAnsiTheme="minorHAnsi" w:cstheme="minorBidi"/>
      <w:kern w:val="2"/>
      <w:sz w:val="18"/>
      <w:szCs w:val="18"/>
    </w:rPr>
  </w:style>
  <w:style w:type="paragraph" w:styleId="a6">
    <w:name w:val="footer"/>
    <w:basedOn w:val="a"/>
    <w:link w:val="Char0"/>
    <w:rsid w:val="00FD2750"/>
    <w:pPr>
      <w:tabs>
        <w:tab w:val="center" w:pos="4153"/>
        <w:tab w:val="right" w:pos="8306"/>
      </w:tabs>
      <w:snapToGrid w:val="0"/>
      <w:jc w:val="left"/>
    </w:pPr>
    <w:rPr>
      <w:sz w:val="18"/>
      <w:szCs w:val="18"/>
    </w:rPr>
  </w:style>
  <w:style w:type="character" w:customStyle="1" w:styleId="Char0">
    <w:name w:val="页脚 Char"/>
    <w:basedOn w:val="a0"/>
    <w:link w:val="a6"/>
    <w:rsid w:val="00FD275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2552</Words>
  <Characters>100</Characters>
  <Application>Microsoft Office Word</Application>
  <DocSecurity>0</DocSecurity>
  <Lines>1</Lines>
  <Paragraphs>5</Paragraphs>
  <ScaleCrop>false</ScaleCrop>
  <Company>Microsoft</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wuxuq</dc:creator>
  <cp:lastModifiedBy>XuMengWen</cp:lastModifiedBy>
  <cp:revision>2</cp:revision>
  <dcterms:created xsi:type="dcterms:W3CDTF">2020-03-23T01:25:00Z</dcterms:created>
  <dcterms:modified xsi:type="dcterms:W3CDTF">2021-01-20T10:01:00Z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